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9412C" w:rsidRDefault="00E60281" w:rsidP="00B9412C">
      <w:pPr>
        <w:snapToGrid w:val="0"/>
        <w:ind w:firstLineChars="200" w:firstLine="1041"/>
        <w:rPr>
          <w:rFonts w:ascii="標楷體" w:eastAsia="標楷體" w:hAnsi="標楷體"/>
          <w:b/>
          <w:sz w:val="52"/>
          <w:szCs w:val="52"/>
        </w:rPr>
      </w:pPr>
      <w:r w:rsidRPr="0015635D">
        <w:rPr>
          <w:rFonts w:ascii="標楷體" w:eastAsia="標楷體" w:hAnsi="標楷體" w:hint="eastAsia"/>
          <w:b/>
          <w:sz w:val="52"/>
          <w:szCs w:val="52"/>
        </w:rPr>
        <w:t>談念佛法門之核心法要</w:t>
      </w:r>
    </w:p>
    <w:p w:rsidR="00A839FB" w:rsidRPr="0015635D" w:rsidRDefault="0015635D" w:rsidP="00B9412C">
      <w:pPr>
        <w:snapToGrid w:val="0"/>
        <w:ind w:firstLineChars="500" w:firstLine="2603"/>
        <w:rPr>
          <w:rFonts w:ascii="標楷體" w:eastAsia="標楷體" w:hAnsi="標楷體"/>
          <w:b/>
          <w:sz w:val="52"/>
          <w:szCs w:val="52"/>
        </w:rPr>
      </w:pPr>
      <w:r w:rsidRPr="0015635D">
        <w:rPr>
          <w:rFonts w:ascii="標楷體" w:eastAsia="標楷體" w:hAnsi="標楷體" w:hint="eastAsia"/>
          <w:b/>
          <w:sz w:val="52"/>
          <w:szCs w:val="52"/>
        </w:rPr>
        <w:t>─</w:t>
      </w:r>
      <w:r w:rsidR="00E60281" w:rsidRPr="0015635D">
        <w:rPr>
          <w:rFonts w:ascii="標楷體" w:eastAsia="標楷體" w:hAnsi="標楷體" w:hint="eastAsia"/>
          <w:b/>
          <w:sz w:val="52"/>
          <w:szCs w:val="52"/>
        </w:rPr>
        <w:t>至心信樂</w:t>
      </w:r>
    </w:p>
    <w:p w:rsidR="0062700F" w:rsidRPr="0015635D" w:rsidRDefault="0062700F" w:rsidP="0015635D">
      <w:pPr>
        <w:snapToGrid w:val="0"/>
        <w:rPr>
          <w:rFonts w:ascii="標楷體" w:eastAsia="標楷體" w:hAnsi="標楷體"/>
          <w:sz w:val="32"/>
          <w:szCs w:val="32"/>
        </w:rPr>
      </w:pPr>
    </w:p>
    <w:p w:rsidR="00A339D0" w:rsidRPr="0015635D" w:rsidRDefault="0015635D" w:rsidP="0015635D">
      <w:pPr>
        <w:snapToGrid w:val="0"/>
        <w:rPr>
          <w:rFonts w:ascii="標楷體" w:eastAsia="標楷體" w:hAnsi="標楷體"/>
          <w:sz w:val="32"/>
          <w:szCs w:val="32"/>
        </w:rPr>
      </w:pPr>
      <w:r>
        <w:rPr>
          <w:rFonts w:ascii="標楷體" w:eastAsia="標楷體" w:hAnsi="標楷體" w:hint="eastAsia"/>
          <w:sz w:val="32"/>
          <w:szCs w:val="32"/>
        </w:rPr>
        <w:t>1、</w:t>
      </w:r>
      <w:r w:rsidR="009B2F7C" w:rsidRPr="0015635D">
        <w:rPr>
          <w:rFonts w:ascii="標楷體" w:eastAsia="標楷體" w:hAnsi="標楷體" w:hint="eastAsia"/>
          <w:sz w:val="32"/>
          <w:szCs w:val="32"/>
        </w:rPr>
        <w:t>《佛說無量壽經》卷1：「設我得佛。十方眾生至心</w:t>
      </w:r>
      <w:bookmarkStart w:id="0" w:name="_GoBack"/>
      <w:bookmarkEnd w:id="0"/>
      <w:r w:rsidR="009B2F7C" w:rsidRPr="0015635D">
        <w:rPr>
          <w:rFonts w:ascii="標楷體" w:eastAsia="標楷體" w:hAnsi="標楷體" w:hint="eastAsia"/>
          <w:sz w:val="32"/>
          <w:szCs w:val="32"/>
        </w:rPr>
        <w:t>信樂。欲生我國乃至十念。若不生者不取正覺。唯除五逆誹謗正法。」</w:t>
      </w:r>
    </w:p>
    <w:p w:rsidR="00A339D0" w:rsidRPr="0015635D" w:rsidRDefault="0015635D" w:rsidP="0015635D">
      <w:pPr>
        <w:snapToGrid w:val="0"/>
        <w:rPr>
          <w:rFonts w:ascii="標楷體" w:eastAsia="標楷體" w:hAnsi="標楷體"/>
          <w:sz w:val="32"/>
          <w:szCs w:val="32"/>
        </w:rPr>
      </w:pPr>
      <w:r>
        <w:rPr>
          <w:rFonts w:ascii="標楷體" w:eastAsia="標楷體" w:hAnsi="標楷體" w:hint="eastAsia"/>
          <w:sz w:val="32"/>
          <w:szCs w:val="32"/>
        </w:rPr>
        <w:t>(</w:t>
      </w:r>
      <w:r w:rsidR="00A339D0" w:rsidRPr="0015635D">
        <w:rPr>
          <w:rFonts w:ascii="標楷體" w:eastAsia="標楷體" w:hAnsi="標楷體"/>
          <w:sz w:val="32"/>
          <w:szCs w:val="32"/>
        </w:rPr>
        <w:t>“</w:t>
      </w:r>
      <w:r w:rsidR="00A339D0" w:rsidRPr="0015635D">
        <w:rPr>
          <w:rFonts w:ascii="標楷體" w:eastAsia="標楷體" w:hAnsi="標楷體" w:hint="eastAsia"/>
          <w:sz w:val="32"/>
          <w:szCs w:val="32"/>
        </w:rPr>
        <w:t>至心發願欲生我國</w:t>
      </w:r>
      <w:r w:rsidR="00A339D0" w:rsidRPr="0015635D">
        <w:rPr>
          <w:rFonts w:ascii="標楷體" w:eastAsia="標楷體" w:hAnsi="標楷體"/>
          <w:sz w:val="32"/>
          <w:szCs w:val="32"/>
        </w:rPr>
        <w:t>”</w:t>
      </w:r>
      <w:r w:rsidR="00A339D0" w:rsidRPr="0015635D">
        <w:rPr>
          <w:rFonts w:ascii="標楷體" w:eastAsia="標楷體" w:hAnsi="標楷體" w:hint="eastAsia"/>
          <w:sz w:val="32"/>
          <w:szCs w:val="32"/>
        </w:rPr>
        <w:t xml:space="preserve"> </w:t>
      </w:r>
      <w:r w:rsidR="00A339D0" w:rsidRPr="0015635D">
        <w:rPr>
          <w:rFonts w:ascii="標楷體" w:eastAsia="標楷體" w:hAnsi="標楷體"/>
          <w:sz w:val="32"/>
          <w:szCs w:val="32"/>
        </w:rPr>
        <w:t>“</w:t>
      </w:r>
      <w:r w:rsidR="00A339D0" w:rsidRPr="0015635D">
        <w:rPr>
          <w:rFonts w:ascii="標楷體" w:eastAsia="標楷體" w:hAnsi="標楷體" w:hint="eastAsia"/>
          <w:sz w:val="32"/>
          <w:szCs w:val="32"/>
        </w:rPr>
        <w:t>至心迴向欲生我國</w:t>
      </w:r>
      <w:r w:rsidR="00A339D0" w:rsidRPr="0015635D">
        <w:rPr>
          <w:rFonts w:ascii="標楷體" w:eastAsia="標楷體" w:hAnsi="標楷體"/>
          <w:sz w:val="32"/>
          <w:szCs w:val="32"/>
        </w:rPr>
        <w:t>”</w:t>
      </w:r>
      <w:r>
        <w:rPr>
          <w:rFonts w:ascii="標楷體" w:eastAsia="標楷體" w:hAnsi="標楷體" w:hint="eastAsia"/>
          <w:sz w:val="32"/>
          <w:szCs w:val="32"/>
        </w:rPr>
        <w:t>)</w:t>
      </w:r>
    </w:p>
    <w:p w:rsidR="009B2F7C" w:rsidRPr="0015635D" w:rsidRDefault="009B2F7C" w:rsidP="0015635D">
      <w:pPr>
        <w:snapToGrid w:val="0"/>
        <w:rPr>
          <w:rFonts w:ascii="標楷體" w:eastAsia="標楷體" w:hAnsi="標楷體"/>
          <w:sz w:val="32"/>
          <w:szCs w:val="32"/>
        </w:rPr>
      </w:pPr>
    </w:p>
    <w:p w:rsidR="002A5700" w:rsidRPr="0015635D" w:rsidRDefault="0015635D" w:rsidP="0015635D">
      <w:pPr>
        <w:snapToGrid w:val="0"/>
        <w:rPr>
          <w:rFonts w:ascii="標楷體" w:eastAsia="標楷體" w:hAnsi="標楷體"/>
          <w:sz w:val="32"/>
          <w:szCs w:val="32"/>
        </w:rPr>
      </w:pPr>
      <w:r>
        <w:rPr>
          <w:rFonts w:ascii="標楷體" w:eastAsia="標楷體" w:hAnsi="標楷體"/>
          <w:sz w:val="32"/>
          <w:szCs w:val="32"/>
        </w:rPr>
        <w:t>2</w:t>
      </w:r>
      <w:r>
        <w:rPr>
          <w:rFonts w:ascii="標楷體" w:eastAsia="標楷體" w:hAnsi="標楷體" w:hint="eastAsia"/>
          <w:sz w:val="32"/>
          <w:szCs w:val="32"/>
        </w:rPr>
        <w:t>、</w:t>
      </w:r>
      <w:r w:rsidR="00857D03" w:rsidRPr="0015635D">
        <w:rPr>
          <w:rFonts w:ascii="標楷體" w:eastAsia="標楷體" w:hAnsi="標楷體" w:hint="eastAsia"/>
          <w:sz w:val="32"/>
          <w:szCs w:val="32"/>
        </w:rPr>
        <w:t>《占察善惡業報經》卷2：「以能得聞我名字故，亦能得聞十方諸佛名字故；以能至心禮拜供養我故，亦能至心禮拜供養十方諸佛故。以能得聞大乘深經故，能執持書寫供養恭敬大乘深經故，能受持讀誦大乘深經故。能於究竟甚深第一實義中不生怖畏，遠離誹謗，得正見心，能信解故。決定除滅諸罪障故，現證無量功德聚故。所以者何？</w:t>
      </w:r>
      <w:r w:rsidR="00857D03" w:rsidRPr="0015635D">
        <w:rPr>
          <w:rFonts w:ascii="標楷體" w:eastAsia="標楷體" w:hAnsi="標楷體" w:hint="eastAsia"/>
          <w:color w:val="FF0000"/>
          <w:sz w:val="32"/>
          <w:szCs w:val="32"/>
        </w:rPr>
        <w:t>謂無分別菩提心，寂靜智現，起發方便業，種種願行故。能聞我名者，謂得決定信利益行故。乃至一切所能者，皆得不退一乘因故。若雜亂垢心，雖復稱誦我之名字，而不名為聞。以不能生決定信解，但獲世間善報，不得廣大深妙利益。如是雜亂垢心，隨其所修一切諸善，皆不能得深大利益。</w:t>
      </w:r>
      <w:r w:rsidR="00857D03" w:rsidRPr="0015635D">
        <w:rPr>
          <w:rFonts w:ascii="標楷體" w:eastAsia="標楷體" w:hAnsi="標楷體" w:hint="eastAsia"/>
          <w:sz w:val="32"/>
          <w:szCs w:val="32"/>
        </w:rPr>
        <w:t>」</w:t>
      </w:r>
    </w:p>
    <w:p w:rsidR="007D675B" w:rsidRPr="0015635D" w:rsidRDefault="007D675B" w:rsidP="0015635D">
      <w:pPr>
        <w:snapToGrid w:val="0"/>
        <w:rPr>
          <w:rFonts w:ascii="標楷體" w:eastAsia="標楷體" w:hAnsi="標楷體"/>
          <w:sz w:val="32"/>
          <w:szCs w:val="32"/>
        </w:rPr>
      </w:pPr>
    </w:p>
    <w:p w:rsidR="007D675B" w:rsidRPr="0015635D" w:rsidRDefault="0015635D" w:rsidP="0015635D">
      <w:pPr>
        <w:snapToGrid w:val="0"/>
        <w:rPr>
          <w:rFonts w:ascii="標楷體" w:eastAsia="標楷體" w:hAnsi="標楷體"/>
          <w:sz w:val="32"/>
          <w:szCs w:val="32"/>
        </w:rPr>
      </w:pPr>
      <w:r>
        <w:rPr>
          <w:rFonts w:ascii="標楷體" w:eastAsia="標楷體" w:hAnsi="標楷體" w:hint="eastAsia"/>
          <w:sz w:val="32"/>
          <w:szCs w:val="32"/>
        </w:rPr>
        <w:t>3、</w:t>
      </w:r>
      <w:r w:rsidR="007D675B" w:rsidRPr="0015635D">
        <w:rPr>
          <w:rFonts w:ascii="標楷體" w:eastAsia="標楷體" w:hAnsi="標楷體" w:hint="eastAsia"/>
          <w:sz w:val="32"/>
          <w:szCs w:val="32"/>
        </w:rPr>
        <w:t>《阿彌陀經要解》卷</w:t>
      </w:r>
      <w:r w:rsidR="007D675B" w:rsidRPr="0015635D">
        <w:rPr>
          <w:rFonts w:ascii="標楷體" w:eastAsia="標楷體" w:hAnsi="標楷體"/>
          <w:sz w:val="32"/>
          <w:szCs w:val="32"/>
        </w:rPr>
        <w:t>1</w:t>
      </w:r>
      <w:r w:rsidR="007D675B" w:rsidRPr="0015635D">
        <w:rPr>
          <w:rFonts w:ascii="標楷體" w:eastAsia="標楷體" w:hAnsi="標楷體" w:hint="eastAsia"/>
          <w:sz w:val="32"/>
          <w:szCs w:val="32"/>
        </w:rPr>
        <w:t>：「若信願堅固。縱使臨終十念一念亦決得生。若無信願。縱使將此名號作个語頭。持至風吹不入雨打不濕如銀牆鐵壁一般。亦萬無一得生淨土之理。修淨業者不可不知也。」</w:t>
      </w:r>
    </w:p>
    <w:p w:rsidR="007D675B" w:rsidRPr="0015635D" w:rsidRDefault="007D675B" w:rsidP="0015635D">
      <w:pPr>
        <w:snapToGrid w:val="0"/>
        <w:rPr>
          <w:rFonts w:ascii="標楷體" w:eastAsia="標楷體" w:hAnsi="標楷體"/>
          <w:sz w:val="32"/>
          <w:szCs w:val="32"/>
        </w:rPr>
      </w:pPr>
    </w:p>
    <w:p w:rsidR="007D675B" w:rsidRPr="0015635D" w:rsidRDefault="0015635D" w:rsidP="0015635D">
      <w:pPr>
        <w:snapToGrid w:val="0"/>
        <w:rPr>
          <w:rFonts w:ascii="標楷體" w:eastAsia="標楷體" w:hAnsi="標楷體"/>
          <w:sz w:val="32"/>
          <w:szCs w:val="32"/>
        </w:rPr>
      </w:pPr>
      <w:r>
        <w:rPr>
          <w:rFonts w:ascii="標楷體" w:eastAsia="標楷體" w:hAnsi="標楷體" w:hint="eastAsia"/>
          <w:sz w:val="32"/>
          <w:szCs w:val="32"/>
        </w:rPr>
        <w:t>4、</w:t>
      </w:r>
      <w:r w:rsidR="007D675B" w:rsidRPr="0015635D">
        <w:rPr>
          <w:rFonts w:ascii="標楷體" w:eastAsia="標楷體" w:hAnsi="標楷體" w:hint="eastAsia"/>
          <w:sz w:val="32"/>
          <w:szCs w:val="32"/>
        </w:rPr>
        <w:t>《靈峰蕅益大師宗論》卷5：「又雖有切行，若信願為導則往生，無信願為導則不生也」</w:t>
      </w:r>
    </w:p>
    <w:p w:rsidR="007D675B" w:rsidRPr="0015635D" w:rsidRDefault="007D675B" w:rsidP="0015635D">
      <w:pPr>
        <w:snapToGrid w:val="0"/>
        <w:rPr>
          <w:rFonts w:ascii="標楷體" w:eastAsia="標楷體" w:hAnsi="標楷體"/>
          <w:sz w:val="32"/>
          <w:szCs w:val="32"/>
        </w:rPr>
      </w:pPr>
    </w:p>
    <w:p w:rsidR="007D675B" w:rsidRPr="0015635D" w:rsidRDefault="0015635D" w:rsidP="0015635D">
      <w:pPr>
        <w:snapToGrid w:val="0"/>
        <w:rPr>
          <w:rFonts w:ascii="標楷體" w:eastAsia="標楷體" w:hAnsi="標楷體"/>
          <w:sz w:val="32"/>
          <w:szCs w:val="32"/>
        </w:rPr>
      </w:pPr>
      <w:r>
        <w:rPr>
          <w:rFonts w:ascii="標楷體" w:eastAsia="標楷體" w:hAnsi="標楷體" w:hint="eastAsia"/>
          <w:sz w:val="32"/>
          <w:szCs w:val="32"/>
        </w:rPr>
        <w:t>5、</w:t>
      </w:r>
      <w:r w:rsidR="007D675B" w:rsidRPr="0015635D">
        <w:rPr>
          <w:rFonts w:ascii="標楷體" w:eastAsia="標楷體" w:hAnsi="標楷體" w:hint="eastAsia"/>
          <w:sz w:val="32"/>
          <w:szCs w:val="32"/>
        </w:rPr>
        <w:t>《寶王三昧念佛直指》卷1：「若於此折門。不能修行。厭離不深。則娑婆業繫不脫。若於彼攝門。不能修行。忻樂不切。則極樂勝境難躋。是以行人欲生淨土成就念佛三昧。當齊修二門。」</w:t>
      </w:r>
    </w:p>
    <w:p w:rsidR="007D675B" w:rsidRPr="0015635D" w:rsidRDefault="007D675B" w:rsidP="0015635D">
      <w:pPr>
        <w:snapToGrid w:val="0"/>
        <w:rPr>
          <w:rFonts w:ascii="標楷體" w:eastAsia="標楷體" w:hAnsi="標楷體"/>
          <w:sz w:val="32"/>
          <w:szCs w:val="32"/>
        </w:rPr>
      </w:pPr>
    </w:p>
    <w:p w:rsidR="00E60281" w:rsidRDefault="0015635D" w:rsidP="0015635D">
      <w:pPr>
        <w:snapToGrid w:val="0"/>
        <w:rPr>
          <w:rFonts w:ascii="標楷體" w:eastAsia="標楷體" w:hAnsi="標楷體"/>
          <w:sz w:val="32"/>
          <w:szCs w:val="32"/>
        </w:rPr>
      </w:pPr>
      <w:r>
        <w:rPr>
          <w:rFonts w:ascii="標楷體" w:eastAsia="標楷體" w:hAnsi="標楷體" w:hint="eastAsia"/>
          <w:sz w:val="32"/>
          <w:szCs w:val="32"/>
        </w:rPr>
        <w:lastRenderedPageBreak/>
        <w:t>6、</w:t>
      </w:r>
      <w:r w:rsidR="00E60281" w:rsidRPr="0015635D">
        <w:rPr>
          <w:rFonts w:ascii="標楷體" w:eastAsia="標楷體" w:hAnsi="標楷體" w:hint="eastAsia"/>
          <w:sz w:val="32"/>
          <w:szCs w:val="32"/>
        </w:rPr>
        <w:t>阿毘達磨法蘊足論》卷8〈15 覺支品〉：「諸有學者如所見諸行思惟觀察。令至究竟。</w:t>
      </w:r>
      <w:r w:rsidR="00E60281" w:rsidRPr="0015635D">
        <w:rPr>
          <w:rFonts w:ascii="標楷體" w:eastAsia="標楷體" w:hAnsi="標楷體" w:hint="eastAsia"/>
          <w:color w:val="FF0000"/>
          <w:sz w:val="32"/>
          <w:szCs w:val="32"/>
        </w:rPr>
        <w:t>於諸行中深見過患。於永涅槃深見功德</w:t>
      </w:r>
      <w:r w:rsidR="00E60281" w:rsidRPr="0015635D">
        <w:rPr>
          <w:rFonts w:ascii="標楷體" w:eastAsia="標楷體" w:hAnsi="標楷體" w:hint="eastAsia"/>
          <w:sz w:val="32"/>
          <w:szCs w:val="32"/>
        </w:rPr>
        <w:t>。若阿羅漢。如解脫心。思惟觀察。令至究竟。所有無漏作意相應。諸念隨念。乃至心明記性。是名念覺支。」</w:t>
      </w:r>
    </w:p>
    <w:p w:rsidR="0015635D" w:rsidRPr="0015635D" w:rsidRDefault="0015635D" w:rsidP="0015635D">
      <w:pPr>
        <w:snapToGrid w:val="0"/>
        <w:rPr>
          <w:rFonts w:ascii="標楷體" w:eastAsia="標楷體" w:hAnsi="標楷體"/>
          <w:sz w:val="32"/>
          <w:szCs w:val="32"/>
        </w:rPr>
      </w:pPr>
    </w:p>
    <w:p w:rsidR="00E60281" w:rsidRDefault="0015635D" w:rsidP="0015635D">
      <w:pPr>
        <w:snapToGrid w:val="0"/>
        <w:rPr>
          <w:rFonts w:ascii="標楷體" w:eastAsia="標楷體" w:hAnsi="標楷體"/>
          <w:sz w:val="32"/>
          <w:szCs w:val="32"/>
        </w:rPr>
      </w:pPr>
      <w:r>
        <w:rPr>
          <w:rFonts w:ascii="標楷體" w:eastAsia="標楷體" w:hAnsi="標楷體" w:hint="eastAsia"/>
          <w:sz w:val="32"/>
          <w:szCs w:val="32"/>
        </w:rPr>
        <w:t>7、</w:t>
      </w:r>
      <w:r w:rsidR="00E60281" w:rsidRPr="0015635D">
        <w:rPr>
          <w:rFonts w:ascii="標楷體" w:eastAsia="標楷體" w:hAnsi="標楷體" w:hint="eastAsia"/>
          <w:sz w:val="32"/>
          <w:szCs w:val="32"/>
        </w:rPr>
        <w:t>《阿毘達磨法蘊足論》卷8〈15 覺支品〉：「云何喜覺支。謂世尊說。大名當知。若聖弟子。以如是相隨念諸佛。謂此世尊。是如來阿羅漢正等覺明行圓滿善逝世間解無上丈夫調御士天人師佛薄伽梵。彼聖弟子。以如是相隨念佛時。貪不纏心。瞋不纏心。癡不纏心。於如來所。其心正直。心正直故。得義威勢。得法威勢。於如來所。能引起欣。欣故生喜心。喜故身安。身安故受樂。樂故心定。心定故於不平等諸有情類。得住平等。於有惱害諸有情類。住無惱害。得預法流於諸佛所脩隨念故。乃至能證究竟涅槃。」</w:t>
      </w:r>
    </w:p>
    <w:p w:rsidR="0015635D" w:rsidRPr="0015635D" w:rsidRDefault="0015635D" w:rsidP="0015635D">
      <w:pPr>
        <w:snapToGrid w:val="0"/>
        <w:rPr>
          <w:rFonts w:ascii="標楷體" w:eastAsia="標楷體" w:hAnsi="標楷體"/>
          <w:sz w:val="32"/>
          <w:szCs w:val="32"/>
        </w:rPr>
      </w:pPr>
    </w:p>
    <w:p w:rsidR="0015635D" w:rsidRDefault="0015635D" w:rsidP="0015635D">
      <w:pPr>
        <w:snapToGrid w:val="0"/>
        <w:rPr>
          <w:rFonts w:ascii="標楷體" w:eastAsia="標楷體" w:hAnsi="標楷體"/>
          <w:sz w:val="32"/>
          <w:szCs w:val="32"/>
        </w:rPr>
      </w:pPr>
      <w:r>
        <w:rPr>
          <w:rFonts w:ascii="標楷體" w:eastAsia="標楷體" w:hAnsi="標楷體" w:hint="eastAsia"/>
          <w:sz w:val="32"/>
          <w:szCs w:val="32"/>
        </w:rPr>
        <w:t>8、</w:t>
      </w:r>
      <w:r w:rsidR="00E60281" w:rsidRPr="0015635D">
        <w:rPr>
          <w:rFonts w:ascii="標楷體" w:eastAsia="標楷體" w:hAnsi="標楷體" w:hint="eastAsia"/>
          <w:sz w:val="32"/>
          <w:szCs w:val="32"/>
        </w:rPr>
        <w:t>《占察善惡業報經》卷1：「地藏菩薩摩訶薩言：「善男子！我所說至心者，略有二種。何等為二？一者，初始學習求願至心。二者，攝意專精，成就勇猛，相應至心。得此第二至心者，能獲善相。此第二至心，復有下中上三種差別，何等為三？</w:t>
      </w:r>
      <w:r w:rsidR="00E60281" w:rsidRPr="0015635D">
        <w:rPr>
          <w:rFonts w:ascii="標楷體" w:eastAsia="標楷體" w:hAnsi="標楷體" w:hint="eastAsia"/>
          <w:sz w:val="32"/>
          <w:szCs w:val="32"/>
          <w:u w:val="single" w:color="FF0000"/>
        </w:rPr>
        <w:t>一者一心，所謂係想不亂，心住了了</w:t>
      </w:r>
      <w:r w:rsidR="00E60281" w:rsidRPr="0015635D">
        <w:rPr>
          <w:rFonts w:ascii="標楷體" w:eastAsia="標楷體" w:hAnsi="標楷體" w:hint="eastAsia"/>
          <w:sz w:val="32"/>
          <w:szCs w:val="32"/>
        </w:rPr>
        <w:t>。</w:t>
      </w:r>
      <w:r w:rsidR="00E60281" w:rsidRPr="0015635D">
        <w:rPr>
          <w:rFonts w:ascii="標楷體" w:eastAsia="標楷體" w:hAnsi="標楷體" w:hint="eastAsia"/>
          <w:sz w:val="32"/>
          <w:szCs w:val="32"/>
          <w:u w:val="single" w:color="FF0000"/>
        </w:rPr>
        <w:t>二者勇猛心，所謂專求不懈，不顧身命</w:t>
      </w:r>
      <w:r w:rsidR="00E60281" w:rsidRPr="0015635D">
        <w:rPr>
          <w:rFonts w:ascii="標楷體" w:eastAsia="標楷體" w:hAnsi="標楷體" w:hint="eastAsia"/>
          <w:sz w:val="32"/>
          <w:szCs w:val="32"/>
        </w:rPr>
        <w:t>。</w:t>
      </w:r>
      <w:r w:rsidR="00E60281" w:rsidRPr="0015635D">
        <w:rPr>
          <w:rFonts w:ascii="標楷體" w:eastAsia="標楷體" w:hAnsi="標楷體" w:hint="eastAsia"/>
          <w:sz w:val="32"/>
          <w:szCs w:val="32"/>
          <w:u w:val="single" w:color="FF0000"/>
        </w:rPr>
        <w:t>三者深心，所謂與法相應，究竟不退</w:t>
      </w:r>
      <w:r w:rsidR="00E60281" w:rsidRPr="0015635D">
        <w:rPr>
          <w:rFonts w:ascii="標楷體" w:eastAsia="標楷體" w:hAnsi="標楷體" w:hint="eastAsia"/>
          <w:sz w:val="32"/>
          <w:szCs w:val="32"/>
        </w:rPr>
        <w:t>。」</w:t>
      </w:r>
    </w:p>
    <w:p w:rsidR="00E60281" w:rsidRPr="0015635D" w:rsidRDefault="00E60281" w:rsidP="0015635D">
      <w:pPr>
        <w:snapToGrid w:val="0"/>
        <w:rPr>
          <w:rFonts w:ascii="標楷體" w:eastAsia="標楷體" w:hAnsi="標楷體"/>
          <w:sz w:val="32"/>
          <w:szCs w:val="32"/>
          <w:u w:val="single" w:color="FF0000"/>
        </w:rPr>
      </w:pPr>
    </w:p>
    <w:p w:rsidR="007D675B" w:rsidRPr="0015635D" w:rsidRDefault="0015635D" w:rsidP="0015635D">
      <w:pPr>
        <w:snapToGrid w:val="0"/>
        <w:rPr>
          <w:rFonts w:ascii="標楷體" w:eastAsia="標楷體" w:hAnsi="標楷體"/>
          <w:sz w:val="32"/>
          <w:szCs w:val="32"/>
        </w:rPr>
      </w:pPr>
      <w:r>
        <w:rPr>
          <w:rFonts w:ascii="標楷體" w:eastAsia="標楷體" w:hAnsi="標楷體" w:hint="eastAsia"/>
          <w:sz w:val="32"/>
          <w:szCs w:val="32"/>
        </w:rPr>
        <w:t>9、</w:t>
      </w:r>
      <w:r w:rsidR="007D675B" w:rsidRPr="0015635D">
        <w:rPr>
          <w:rFonts w:ascii="標楷體" w:eastAsia="標楷體" w:hAnsi="標楷體" w:hint="eastAsia"/>
          <w:sz w:val="32"/>
          <w:szCs w:val="32"/>
        </w:rPr>
        <w:t>《成唯識論》卷6：「云何為信。於實德能深忍樂欲心淨為性。對治不信樂善為業。然信差別略有三種。一信實有。謂於諸法實事理中深信忍故。二信有德。謂於三寶真淨德中深信樂故。三信有能。謂於一切世出世善深信有力能得能成起希望故。由斯對治彼不信心。愛樂證修世出世善。忍謂勝解。此即信因。樂欲謂欲即是信果。</w:t>
      </w:r>
    </w:p>
    <w:p w:rsidR="007D675B" w:rsidRPr="0015635D" w:rsidRDefault="007D675B" w:rsidP="0015635D">
      <w:pPr>
        <w:snapToGrid w:val="0"/>
        <w:rPr>
          <w:rFonts w:ascii="標楷體" w:eastAsia="標楷體" w:hAnsi="標楷體"/>
          <w:sz w:val="32"/>
          <w:szCs w:val="32"/>
        </w:rPr>
      </w:pPr>
    </w:p>
    <w:p w:rsidR="00231C8A" w:rsidRDefault="0015635D" w:rsidP="0015635D">
      <w:pPr>
        <w:snapToGrid w:val="0"/>
        <w:rPr>
          <w:rFonts w:ascii="標楷體" w:eastAsia="標楷體" w:hAnsi="標楷體"/>
          <w:sz w:val="32"/>
          <w:szCs w:val="32"/>
        </w:rPr>
      </w:pPr>
      <w:r>
        <w:rPr>
          <w:rFonts w:ascii="標楷體" w:eastAsia="標楷體" w:hAnsi="標楷體" w:hint="eastAsia"/>
          <w:sz w:val="32"/>
          <w:szCs w:val="32"/>
        </w:rPr>
        <w:t>10、</w:t>
      </w:r>
      <w:r w:rsidR="007D675B" w:rsidRPr="0015635D">
        <w:rPr>
          <w:rFonts w:ascii="標楷體" w:eastAsia="標楷體" w:hAnsi="標楷體" w:hint="eastAsia"/>
          <w:sz w:val="32"/>
          <w:szCs w:val="32"/>
        </w:rPr>
        <w:t>《大乘阿毘達磨雜集論》卷10〈1 諦品〉：「加行者。謂欲精進信。欲為精進依。信為欲因。所以者何。由欲求故。為得此義發勤精進。如是欲求不離信受。」</w:t>
      </w:r>
    </w:p>
    <w:p w:rsidR="0015635D" w:rsidRPr="0015635D" w:rsidRDefault="0015635D" w:rsidP="0015635D">
      <w:pPr>
        <w:snapToGrid w:val="0"/>
        <w:rPr>
          <w:rFonts w:ascii="標楷體" w:eastAsia="標楷體" w:hAnsi="標楷體"/>
          <w:sz w:val="32"/>
          <w:szCs w:val="32"/>
        </w:rPr>
      </w:pPr>
    </w:p>
    <w:p w:rsidR="00231C8A" w:rsidRPr="0015635D" w:rsidRDefault="0015635D" w:rsidP="0015635D">
      <w:pPr>
        <w:snapToGrid w:val="0"/>
        <w:rPr>
          <w:rFonts w:ascii="標楷體" w:eastAsia="標楷體" w:hAnsi="標楷體"/>
          <w:sz w:val="32"/>
          <w:szCs w:val="32"/>
        </w:rPr>
      </w:pPr>
      <w:r>
        <w:rPr>
          <w:rFonts w:ascii="標楷體" w:eastAsia="標楷體" w:hAnsi="標楷體" w:hint="eastAsia"/>
          <w:sz w:val="32"/>
          <w:szCs w:val="32"/>
        </w:rPr>
        <w:t>11、</w:t>
      </w:r>
      <w:r w:rsidR="00231C8A" w:rsidRPr="0015635D">
        <w:rPr>
          <w:rFonts w:ascii="標楷體" w:eastAsia="標楷體" w:hAnsi="標楷體" w:hint="eastAsia"/>
          <w:sz w:val="32"/>
          <w:szCs w:val="32"/>
        </w:rPr>
        <w:t>《瑜伽論記》卷6：「一解有分別影像中。初牒聞思。前三方便聽聞正法或教授師等邊聞為所依止或於餘處見聞。於中分別。</w:t>
      </w:r>
      <w:r w:rsidR="00231C8A" w:rsidRPr="0015635D">
        <w:rPr>
          <w:rFonts w:ascii="標楷體" w:eastAsia="標楷體" w:hAnsi="標楷體" w:hint="eastAsia"/>
          <w:sz w:val="32"/>
          <w:szCs w:val="32"/>
          <w:u w:val="single" w:color="FF0000"/>
        </w:rPr>
        <w:t>於所知事即有當心同分影像。似於本質名為同分。此是聞思生得慧等散心所緣分別影像</w:t>
      </w:r>
      <w:r w:rsidR="00231C8A" w:rsidRPr="0015635D">
        <w:rPr>
          <w:rFonts w:ascii="標楷體" w:eastAsia="標楷體" w:hAnsi="標楷體" w:hint="eastAsia"/>
          <w:sz w:val="32"/>
          <w:szCs w:val="32"/>
        </w:rPr>
        <w:t>。」</w:t>
      </w:r>
    </w:p>
    <w:p w:rsidR="00231C8A" w:rsidRPr="0015635D" w:rsidRDefault="00231C8A" w:rsidP="0015635D">
      <w:pPr>
        <w:snapToGrid w:val="0"/>
        <w:rPr>
          <w:rFonts w:ascii="標楷體" w:eastAsia="標楷體" w:hAnsi="標楷體"/>
          <w:sz w:val="32"/>
          <w:szCs w:val="32"/>
        </w:rPr>
      </w:pPr>
    </w:p>
    <w:p w:rsidR="00231C8A" w:rsidRPr="0015635D" w:rsidRDefault="00231C8A" w:rsidP="0015635D">
      <w:pPr>
        <w:snapToGrid w:val="0"/>
        <w:rPr>
          <w:rFonts w:ascii="標楷體" w:eastAsia="標楷體" w:hAnsi="標楷體"/>
          <w:sz w:val="32"/>
          <w:szCs w:val="32"/>
        </w:rPr>
      </w:pPr>
      <w:r w:rsidRPr="0015635D">
        <w:rPr>
          <w:rFonts w:ascii="標楷體" w:eastAsia="標楷體" w:hAnsi="標楷體" w:hint="eastAsia"/>
          <w:sz w:val="32"/>
          <w:szCs w:val="32"/>
        </w:rPr>
        <w:t>12.《解深密經》卷3〈6 分別瑜伽品〉：「善男子。我說識所緣唯識所現故。世尊。若彼所行影像即與此心無有異者。云何此心還見此心。善男子。此中無有少法能見少法。然即此心如是生時。即有如是影像顯現。善男子。如依善瑩清淨鏡面。以質為緣還見本質。而謂我今見於影像。及謂離質別有所行影像顯現。如是此心生時相似有異。三摩地所行影像顯現。世尊。若諸有情自性而住。緣色等心所行影像。彼與此心亦無異耶。善男子。亦無有異。而諸愚夫由顛倒覺。於諸影像不能如實知唯是識。作顛倒解。」</w:t>
      </w:r>
    </w:p>
    <w:p w:rsidR="00231C8A" w:rsidRPr="00AA650D" w:rsidRDefault="00231C8A" w:rsidP="0015635D">
      <w:pPr>
        <w:snapToGrid w:val="0"/>
        <w:rPr>
          <w:rFonts w:ascii="標楷體" w:eastAsia="標楷體" w:hAnsi="標楷體"/>
          <w:sz w:val="32"/>
          <w:szCs w:val="32"/>
        </w:rPr>
      </w:pPr>
    </w:p>
    <w:p w:rsidR="00231C8A" w:rsidRPr="0015635D" w:rsidRDefault="00AA650D" w:rsidP="0015635D">
      <w:pPr>
        <w:snapToGrid w:val="0"/>
        <w:rPr>
          <w:rFonts w:ascii="標楷體" w:eastAsia="標楷體" w:hAnsi="標楷體"/>
          <w:sz w:val="32"/>
          <w:szCs w:val="32"/>
        </w:rPr>
      </w:pPr>
      <w:r>
        <w:rPr>
          <w:rFonts w:ascii="標楷體" w:eastAsia="標楷體" w:hAnsi="標楷體" w:hint="eastAsia"/>
          <w:sz w:val="32"/>
          <w:szCs w:val="32"/>
        </w:rPr>
        <w:t>13、</w:t>
      </w:r>
      <w:r w:rsidR="00231C8A" w:rsidRPr="0015635D">
        <w:rPr>
          <w:rFonts w:ascii="標楷體" w:eastAsia="標楷體" w:hAnsi="標楷體" w:hint="eastAsia"/>
          <w:sz w:val="32"/>
          <w:szCs w:val="32"/>
        </w:rPr>
        <w:t>《十住毘婆沙論》卷7〈14 歸命相品〉：「如實念佛者。無量不可思議。無行無知無我我所。無憶無念。不分別五陰十二入十八界。無形無礙無發無住無非住。不住色不住受想行識。不住眼色不住眼識。不住耳聲不住耳識。不住鼻香不住鼻識。不住舌味不住舌識。不住身觸。不住身識。不住意法不住意識。不住一切諸緣。不起一切諸相。</w:t>
      </w:r>
      <w:r>
        <w:rPr>
          <w:rFonts w:ascii="標楷體" w:eastAsia="標楷體" w:hAnsi="標楷體" w:hint="eastAsia"/>
          <w:sz w:val="32"/>
          <w:szCs w:val="32"/>
        </w:rPr>
        <w:t>---</w:t>
      </w:r>
      <w:r w:rsidR="00231C8A" w:rsidRPr="0015635D">
        <w:rPr>
          <w:rFonts w:ascii="標楷體" w:eastAsia="標楷體" w:hAnsi="標楷體" w:hint="eastAsia"/>
          <w:sz w:val="32"/>
          <w:szCs w:val="32"/>
        </w:rPr>
        <w:t>究暢明了無有彼此。無動故無喜。不受味故無樂。本相寂滅故無熱。心無所營故解脫。相無色故無身。不受故無受。無想故無結。無行故無為。無知故無識。無取故無行。不捨故非不行。無處故無住。空故無來。不生故無去。一切憶念心心數法及餘諸法。不貪不著不取不受不然不滅。先來不生無有生相。攝在法性過眼色虛空道。如是相名為真念佛。」</w:t>
      </w:r>
    </w:p>
    <w:sectPr w:rsidR="00231C8A" w:rsidRPr="0015635D">
      <w:footerReference w:type="default" r:id="rId7"/>
      <w:pgSz w:w="11906" w:h="16838"/>
      <w:pgMar w:top="1440" w:right="1800" w:bottom="1440" w:left="1800"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5635D" w:rsidRDefault="0015635D" w:rsidP="0015635D">
      <w:r>
        <w:separator/>
      </w:r>
    </w:p>
  </w:endnote>
  <w:endnote w:type="continuationSeparator" w:id="0">
    <w:p w:rsidR="0015635D" w:rsidRDefault="0015635D" w:rsidP="0015635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新細明體">
    <w:altName w:val="PMingLiU"/>
    <w:panose1 w:val="02020300000000000000"/>
    <w:charset w:val="88"/>
    <w:family w:val="roman"/>
    <w:pitch w:val="variable"/>
    <w:sig w:usb0="00000003" w:usb1="080E0000" w:usb2="00000016" w:usb3="00000000" w:csb0="00100001" w:csb1="00000000"/>
  </w:font>
  <w:font w:name="Times New Roman">
    <w:panose1 w:val="02020603050405020304"/>
    <w:charset w:val="00"/>
    <w:family w:val="roman"/>
    <w:pitch w:val="variable"/>
    <w:sig w:usb0="20002A87" w:usb1="80000000" w:usb2="00000008" w:usb3="00000000" w:csb0="000001FF" w:csb1="00000000"/>
  </w:font>
  <w:font w:name="標楷體">
    <w:panose1 w:val="03000509000000000000"/>
    <w:charset w:val="88"/>
    <w:family w:val="script"/>
    <w:pitch w:val="fixed"/>
    <w:sig w:usb0="00000003" w:usb1="080E0000" w:usb2="00000016" w:usb3="00000000" w:csb0="001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99454357"/>
      <w:docPartObj>
        <w:docPartGallery w:val="Page Numbers (Bottom of Page)"/>
        <w:docPartUnique/>
      </w:docPartObj>
    </w:sdtPr>
    <w:sdtEndPr/>
    <w:sdtContent>
      <w:p w:rsidR="0015635D" w:rsidRDefault="0015635D">
        <w:pPr>
          <w:pStyle w:val="Footer"/>
          <w:jc w:val="center"/>
        </w:pPr>
        <w:r>
          <w:fldChar w:fldCharType="begin"/>
        </w:r>
        <w:r>
          <w:instrText>PAGE   \* MERGEFORMAT</w:instrText>
        </w:r>
        <w:r>
          <w:fldChar w:fldCharType="separate"/>
        </w:r>
        <w:r w:rsidR="00DD7F69" w:rsidRPr="00DD7F69">
          <w:rPr>
            <w:noProof/>
            <w:lang w:val="zh-TW"/>
          </w:rPr>
          <w:t>1</w:t>
        </w:r>
        <w:r>
          <w:fldChar w:fldCharType="end"/>
        </w:r>
      </w:p>
    </w:sdtContent>
  </w:sdt>
  <w:p w:rsidR="0015635D" w:rsidRDefault="0015635D">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5635D" w:rsidRDefault="0015635D" w:rsidP="0015635D">
      <w:r>
        <w:separator/>
      </w:r>
    </w:p>
  </w:footnote>
  <w:footnote w:type="continuationSeparator" w:id="0">
    <w:p w:rsidR="0015635D" w:rsidRDefault="0015635D" w:rsidP="0015635D">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74"/>
  <w:bordersDoNotSurroundHeader/>
  <w:bordersDoNotSurroundFooter/>
  <w:proofState w:spelling="clean" w:grammar="clean"/>
  <w:defaultTabStop w:val="480"/>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60281"/>
    <w:rsid w:val="0015635D"/>
    <w:rsid w:val="00231C8A"/>
    <w:rsid w:val="002A5700"/>
    <w:rsid w:val="005039A2"/>
    <w:rsid w:val="0062700F"/>
    <w:rsid w:val="007D675B"/>
    <w:rsid w:val="0081524D"/>
    <w:rsid w:val="00857D03"/>
    <w:rsid w:val="009B2F7C"/>
    <w:rsid w:val="00A339D0"/>
    <w:rsid w:val="00A839FB"/>
    <w:rsid w:val="00AA650D"/>
    <w:rsid w:val="00B77F1F"/>
    <w:rsid w:val="00B9412C"/>
    <w:rsid w:val="00BA17DF"/>
    <w:rsid w:val="00DD7F69"/>
    <w:rsid w:val="00E60281"/>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widowControl w:val="0"/>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5635D"/>
    <w:pPr>
      <w:tabs>
        <w:tab w:val="center" w:pos="4153"/>
        <w:tab w:val="right" w:pos="8306"/>
      </w:tabs>
      <w:snapToGrid w:val="0"/>
    </w:pPr>
    <w:rPr>
      <w:sz w:val="20"/>
      <w:szCs w:val="20"/>
    </w:rPr>
  </w:style>
  <w:style w:type="character" w:customStyle="1" w:styleId="HeaderChar">
    <w:name w:val="Header Char"/>
    <w:basedOn w:val="DefaultParagraphFont"/>
    <w:link w:val="Header"/>
    <w:uiPriority w:val="99"/>
    <w:rsid w:val="0015635D"/>
    <w:rPr>
      <w:sz w:val="20"/>
      <w:szCs w:val="20"/>
    </w:rPr>
  </w:style>
  <w:style w:type="paragraph" w:styleId="Footer">
    <w:name w:val="footer"/>
    <w:basedOn w:val="Normal"/>
    <w:link w:val="FooterChar"/>
    <w:uiPriority w:val="99"/>
    <w:unhideWhenUsed/>
    <w:rsid w:val="0015635D"/>
    <w:pPr>
      <w:tabs>
        <w:tab w:val="center" w:pos="4153"/>
        <w:tab w:val="right" w:pos="8306"/>
      </w:tabs>
      <w:snapToGrid w:val="0"/>
    </w:pPr>
    <w:rPr>
      <w:sz w:val="20"/>
      <w:szCs w:val="20"/>
    </w:rPr>
  </w:style>
  <w:style w:type="character" w:customStyle="1" w:styleId="FooterChar">
    <w:name w:val="Footer Char"/>
    <w:basedOn w:val="DefaultParagraphFont"/>
    <w:link w:val="Footer"/>
    <w:uiPriority w:val="99"/>
    <w:rsid w:val="0015635D"/>
    <w:rPr>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widowControl w:val="0"/>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5635D"/>
    <w:pPr>
      <w:tabs>
        <w:tab w:val="center" w:pos="4153"/>
        <w:tab w:val="right" w:pos="8306"/>
      </w:tabs>
      <w:snapToGrid w:val="0"/>
    </w:pPr>
    <w:rPr>
      <w:sz w:val="20"/>
      <w:szCs w:val="20"/>
    </w:rPr>
  </w:style>
  <w:style w:type="character" w:customStyle="1" w:styleId="HeaderChar">
    <w:name w:val="Header Char"/>
    <w:basedOn w:val="DefaultParagraphFont"/>
    <w:link w:val="Header"/>
    <w:uiPriority w:val="99"/>
    <w:rsid w:val="0015635D"/>
    <w:rPr>
      <w:sz w:val="20"/>
      <w:szCs w:val="20"/>
    </w:rPr>
  </w:style>
  <w:style w:type="paragraph" w:styleId="Footer">
    <w:name w:val="footer"/>
    <w:basedOn w:val="Normal"/>
    <w:link w:val="FooterChar"/>
    <w:uiPriority w:val="99"/>
    <w:unhideWhenUsed/>
    <w:rsid w:val="0015635D"/>
    <w:pPr>
      <w:tabs>
        <w:tab w:val="center" w:pos="4153"/>
        <w:tab w:val="right" w:pos="8306"/>
      </w:tabs>
      <w:snapToGrid w:val="0"/>
    </w:pPr>
    <w:rPr>
      <w:sz w:val="20"/>
      <w:szCs w:val="20"/>
    </w:rPr>
  </w:style>
  <w:style w:type="character" w:customStyle="1" w:styleId="FooterChar">
    <w:name w:val="Footer Char"/>
    <w:basedOn w:val="DefaultParagraphFont"/>
    <w:link w:val="Footer"/>
    <w:uiPriority w:val="99"/>
    <w:rsid w:val="0015635D"/>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Pages>
  <Words>296</Words>
  <Characters>1688</Characters>
  <Application>Microsoft Office Word</Application>
  <DocSecurity>0</DocSecurity>
  <Lines>14</Lines>
  <Paragraphs>3</Paragraphs>
  <ScaleCrop>false</ScaleCrop>
  <Company/>
  <LinksUpToDate>false</LinksUpToDate>
  <CharactersWithSpaces>1981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cp:lastModifiedBy>
  <cp:revision>3</cp:revision>
  <dcterms:created xsi:type="dcterms:W3CDTF">2013-07-28T02:47:00Z</dcterms:created>
  <dcterms:modified xsi:type="dcterms:W3CDTF">2013-07-28T04:01:00Z</dcterms:modified>
</cp:coreProperties>
</file>